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68863">
      <w:pPr>
        <w:spacing w:before="0" w:after="0" w:line="288" w:lineRule="auto"/>
        <w:jc w:val="center"/>
        <w:rPr>
          <w:rFonts w:hint="eastAsia" w:ascii="宋体" w:hAnsi="宋体" w:eastAsia="宋体" w:cs="宋体"/>
          <w:b/>
          <w:bCs/>
        </w:rPr>
      </w:pPr>
      <w:r>
        <w:rPr>
          <w:rFonts w:hint="eastAsia" w:ascii="宋体" w:hAnsi="宋体" w:eastAsia="宋体" w:cs="宋体"/>
          <w:b/>
          <w:bCs/>
          <w:sz w:val="44"/>
          <w:lang w:val="en-US" w:eastAsia="zh-CN"/>
        </w:rPr>
        <w:t>合肥四中2026年</w:t>
      </w:r>
      <w:r>
        <w:rPr>
          <w:rFonts w:hint="eastAsia" w:ascii="宋体" w:hAnsi="宋体" w:eastAsia="宋体" w:cs="宋体"/>
          <w:b/>
          <w:bCs/>
          <w:sz w:val="44"/>
        </w:rPr>
        <w:t>七氟丙烷气体灭火器</w:t>
      </w:r>
    </w:p>
    <w:p w14:paraId="12F09679">
      <w:pPr>
        <w:spacing w:before="0" w:after="0" w:line="288" w:lineRule="auto"/>
        <w:jc w:val="center"/>
        <w:rPr>
          <w:rFonts w:hint="eastAsia" w:ascii="宋体" w:hAnsi="宋体" w:eastAsia="宋体" w:cs="宋体"/>
          <w:b/>
          <w:bCs/>
          <w:sz w:val="44"/>
          <w:lang w:val="en-US" w:eastAsia="zh-CN"/>
        </w:rPr>
      </w:pPr>
      <w:r>
        <w:rPr>
          <w:rFonts w:hint="eastAsia" w:ascii="宋体" w:hAnsi="宋体" w:eastAsia="宋体" w:cs="宋体"/>
          <w:b/>
          <w:bCs/>
          <w:sz w:val="44"/>
        </w:rPr>
        <w:t>充装项目</w:t>
      </w:r>
      <w:r>
        <w:rPr>
          <w:rFonts w:hint="eastAsia" w:ascii="宋体" w:hAnsi="宋体" w:eastAsia="宋体" w:cs="宋体"/>
          <w:b/>
          <w:bCs/>
          <w:sz w:val="44"/>
          <w:lang w:val="en-US" w:eastAsia="zh-CN"/>
        </w:rPr>
        <w:t>采购询价</w:t>
      </w:r>
    </w:p>
    <w:p w14:paraId="63168213">
      <w:pPr>
        <w:spacing w:before="0" w:after="0" w:line="288" w:lineRule="auto"/>
        <w:ind w:firstLine="640"/>
        <w:rPr>
          <w:rFonts w:hint="eastAsia" w:ascii="宋体" w:hAnsi="宋体" w:eastAsia="宋体" w:cs="宋体"/>
          <w:b w:val="0"/>
          <w:sz w:val="32"/>
          <w:lang w:val="en-US" w:eastAsia="zh-CN"/>
        </w:rPr>
      </w:pPr>
    </w:p>
    <w:p w14:paraId="35D517C4">
      <w:pPr>
        <w:spacing w:before="0" w:after="0" w:line="288" w:lineRule="auto"/>
        <w:ind w:firstLine="640"/>
        <w:rPr>
          <w:rFonts w:hint="eastAsia" w:ascii="宋体" w:hAnsi="宋体" w:eastAsia="宋体" w:cs="宋体"/>
          <w:b w:val="0"/>
          <w:color w:val="000000" w:themeColor="text1"/>
          <w:sz w:val="32"/>
          <w:lang w:val="en-US" w:eastAsia="zh-CN"/>
          <w14:textFill>
            <w14:solidFill>
              <w14:schemeClr w14:val="tx1"/>
            </w14:solidFill>
          </w14:textFill>
        </w:rPr>
      </w:pPr>
      <w:r>
        <w:rPr>
          <w:rFonts w:hint="eastAsia" w:ascii="宋体" w:hAnsi="宋体" w:eastAsia="宋体" w:cs="宋体"/>
          <w:b w:val="0"/>
          <w:color w:val="000000" w:themeColor="text1"/>
          <w:sz w:val="32"/>
          <w:lang w:val="en-US" w:eastAsia="zh-CN"/>
          <w14:textFill>
            <w14:solidFill>
              <w14:schemeClr w14:val="tx1"/>
            </w14:solidFill>
          </w14:textFill>
        </w:rPr>
        <w:t>根据《中华人民共和国民法典》、《中华人民共和国政府采购法》等相关法律法规之规定，</w:t>
      </w:r>
      <w:r>
        <w:rPr>
          <w:rFonts w:hint="eastAsia" w:ascii="宋体" w:hAnsi="宋体" w:eastAsia="宋体" w:cs="宋体"/>
          <w:b w:val="0"/>
          <w:color w:val="000000" w:themeColor="text1"/>
          <w:sz w:val="32"/>
          <w:highlight w:val="none"/>
          <w:lang w:val="en-US" w:eastAsia="zh-CN"/>
          <w14:textFill>
            <w14:solidFill>
              <w14:schemeClr w14:val="tx1"/>
            </w14:solidFill>
          </w14:textFill>
        </w:rPr>
        <w:t>依据《中华人民共和国消防法》》等</w:t>
      </w:r>
      <w:r>
        <w:rPr>
          <w:rFonts w:hint="eastAsia" w:ascii="宋体" w:hAnsi="宋体" w:eastAsia="宋体" w:cs="宋体"/>
          <w:b w:val="0"/>
          <w:color w:val="000000" w:themeColor="text1"/>
          <w:sz w:val="32"/>
          <w:lang w:val="en-US" w:eastAsia="zh-CN"/>
          <w14:textFill>
            <w14:solidFill>
              <w14:schemeClr w14:val="tx1"/>
            </w14:solidFill>
          </w14:textFill>
        </w:rPr>
        <w:t>相关法律法规规定，合肥市第四中学拟就“合肥四中2026年七氟丙烷气体灭火器充装”项目，以公开挂网询价的方式进行，在保证装置配件售后服务质量优、品质高的前提下，遵循公开透明、公平竞争和诚实信用原则，欢迎具有相关业务资质和实施能力的供应商参与报价。</w:t>
      </w:r>
    </w:p>
    <w:p w14:paraId="18CE6E17">
      <w:pPr>
        <w:spacing w:before="0" w:after="0" w:line="288" w:lineRule="auto"/>
        <w:ind w:firstLine="640"/>
        <w:rPr>
          <w:rFonts w:hint="eastAsia" w:ascii="宋体" w:hAnsi="宋体" w:eastAsia="宋体" w:cs="宋体"/>
          <w:b w:val="0"/>
          <w:color w:val="000000" w:themeColor="text1"/>
          <w:sz w:val="32"/>
          <w:lang w:val="en-US" w:eastAsia="zh-CN"/>
          <w14:textFill>
            <w14:solidFill>
              <w14:schemeClr w14:val="tx1"/>
            </w14:solidFill>
          </w14:textFill>
        </w:rPr>
      </w:pPr>
      <w:r>
        <w:rPr>
          <w:rFonts w:hint="eastAsia" w:ascii="宋体" w:hAnsi="宋体" w:eastAsia="宋体" w:cs="宋体"/>
          <w:b w:val="0"/>
          <w:color w:val="000000" w:themeColor="text1"/>
          <w:sz w:val="32"/>
          <w:lang w:val="en-US" w:eastAsia="zh-CN"/>
          <w14:textFill>
            <w14:solidFill>
              <w14:schemeClr w14:val="tx1"/>
            </w14:solidFill>
          </w14:textFill>
        </w:rPr>
        <w:t>一、询价标的</w:t>
      </w:r>
    </w:p>
    <w:p w14:paraId="006385E8">
      <w:pPr>
        <w:spacing w:before="0" w:after="0" w:line="288" w:lineRule="auto"/>
        <w:ind w:firstLine="640"/>
        <w:rPr>
          <w:rFonts w:hint="default" w:ascii="宋体" w:hAnsi="宋体" w:eastAsia="宋体" w:cs="宋体"/>
          <w:b w:val="0"/>
          <w:color w:val="000000" w:themeColor="text1"/>
          <w:sz w:val="32"/>
          <w:lang w:val="en-US" w:eastAsia="zh-CN"/>
          <w14:textFill>
            <w14:solidFill>
              <w14:schemeClr w14:val="tx1"/>
            </w14:solidFill>
          </w14:textFill>
        </w:rPr>
      </w:pPr>
      <w:r>
        <w:rPr>
          <w:rFonts w:hint="eastAsia" w:ascii="宋体" w:hAnsi="宋体" w:eastAsia="宋体" w:cs="宋体"/>
          <w:b w:val="0"/>
          <w:color w:val="000000" w:themeColor="text1"/>
          <w:sz w:val="32"/>
          <w:lang w:val="en-US" w:eastAsia="zh-CN"/>
          <w14:textFill>
            <w14:solidFill>
              <w14:schemeClr w14:val="tx1"/>
            </w14:solidFill>
          </w14:textFill>
        </w:rPr>
        <w:t>名称：合肥四中2026年七氟丙烷气体灭火器充装项目</w:t>
      </w:r>
    </w:p>
    <w:p w14:paraId="7A4E00B8">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采购内容：设备采购与安装服务（详见附件1）。</w:t>
      </w:r>
    </w:p>
    <w:p w14:paraId="1D6A720E">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二、对供应商的要求</w:t>
      </w:r>
    </w:p>
    <w:p w14:paraId="70EA0844">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1.在中华人民共和国境内不含享有单独关境地位的地区注册，经年检合格，所投服务在其经营范围内，并有能力按本次采购询价文件要求按时、按质、按量提供安装服务的单位。</w:t>
      </w:r>
    </w:p>
    <w:p w14:paraId="24B8D798">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2.报价人存在以下不良信用记录情形之一的,不得推荐为成交候选供应商,不得确定为成交供应商，且中标、成交结果无效：</w:t>
      </w:r>
    </w:p>
    <w:p w14:paraId="7C15F155">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（1）报价人被人民法院列入失信被执行人的；</w:t>
      </w:r>
    </w:p>
    <w:p w14:paraId="102520B1">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（2）报价人或其法定代表人被人民检察院列入行贿犯罪档案的；</w:t>
      </w:r>
    </w:p>
    <w:p w14:paraId="25DDCA9C">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（3）报价人被工商行政管理部门列入企业经营异常名录的；</w:t>
      </w:r>
    </w:p>
    <w:p w14:paraId="6EAFADAA">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（4）报价人被税务部门列入重大税收违法案件当事人名单的；</w:t>
      </w:r>
    </w:p>
    <w:p w14:paraId="3B851F7A">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（5）报价人被政府采购监管部门列入政府采购严重违法失信行为记录名单的。</w:t>
      </w:r>
    </w:p>
    <w:p w14:paraId="67478FC8">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3.供应商有下款第（1）至（6）项情形之一的，中标、成交无效情节严重构成犯罪的，依法追究刑事责任：</w:t>
      </w:r>
    </w:p>
    <w:p w14:paraId="0C54D21F">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（1）提供虚假材料谋取中标、成交的或提供材料内容有错误的；</w:t>
      </w:r>
    </w:p>
    <w:p w14:paraId="46A4BED8">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（2）采取不正当手段诋毁、排挤其他供应商的；</w:t>
      </w:r>
    </w:p>
    <w:p w14:paraId="7AAA2927">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（3）与采购人、其他供应商或者采购代理机构恶意串通的；</w:t>
      </w:r>
    </w:p>
    <w:p w14:paraId="7349CB96">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（4）向采购人、采购代理机构行贿或者提供其他不正当利益的；</w:t>
      </w:r>
    </w:p>
    <w:p w14:paraId="5D9FC0DE">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（5）在招标采购过程中与采购人进行协商谈判的；</w:t>
      </w:r>
    </w:p>
    <w:p w14:paraId="2310DB7B">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（6）拒绝有关部门监督检查或者提供虚假情况的。</w:t>
      </w:r>
    </w:p>
    <w:p w14:paraId="415EF2EB">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4.供应商参加询价活动应当具备下列条件，否则中标、成交结果无效：</w:t>
      </w:r>
    </w:p>
    <w:p w14:paraId="5DCDCD42">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（1）具有独立承担民事责任的能力;</w:t>
      </w:r>
    </w:p>
    <w:p w14:paraId="54463247">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（2）具有良好的商业信誉和健全的财务会计制度;</w:t>
      </w:r>
    </w:p>
    <w:p w14:paraId="36C22C86">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（3）具有履行合同所必需的设备和专业技术能力;</w:t>
      </w:r>
    </w:p>
    <w:p w14:paraId="73C04430">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（4）有依法缴纳税收和社会保障资金的良好记录;</w:t>
      </w:r>
    </w:p>
    <w:p w14:paraId="12CCB2D2">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（5）参加采购活动前三年内，在经营活动中没有重大违法记录;</w:t>
      </w:r>
    </w:p>
    <w:p w14:paraId="7F307465">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（6）法律、行政法规规定的其他条件。</w:t>
      </w:r>
    </w:p>
    <w:p w14:paraId="5AD7F74E">
      <w:pPr>
        <w:spacing w:before="0" w:after="0" w:line="288" w:lineRule="auto"/>
        <w:ind w:firstLine="640"/>
        <w:rPr>
          <w:rFonts w:hint="eastAsia" w:ascii="宋体" w:hAnsi="宋体" w:eastAsia="宋体" w:cs="宋体"/>
          <w:b w:val="0"/>
          <w:color w:val="000000" w:themeColor="text1"/>
          <w:sz w:val="32"/>
          <w:lang w:val="en-US" w:eastAsia="zh-CN"/>
          <w14:textFill>
            <w14:solidFill>
              <w14:schemeClr w14:val="tx1"/>
            </w14:solidFill>
          </w14:textFill>
        </w:rPr>
      </w:pPr>
      <w:r>
        <w:rPr>
          <w:rFonts w:hint="eastAsia" w:ascii="宋体" w:hAnsi="宋体" w:eastAsia="宋体" w:cs="宋体"/>
          <w:b w:val="0"/>
          <w:sz w:val="32"/>
          <w:lang w:val="en-US" w:eastAsia="zh-CN"/>
        </w:rPr>
        <w:t>5.投标人须具有有效营业执照和税务登记证的扫描件或影印件，应完整的体现出营业执照和税务登记证的全部内容。已办理“三证合一”登记的，响应文件中提供营业执照扫描件即可；具有提供对公账户并开具增值税发票能力；</w:t>
      </w:r>
      <w:r>
        <w:rPr>
          <w:rFonts w:hint="eastAsia" w:ascii="宋体" w:hAnsi="宋体" w:eastAsia="宋体" w:cs="宋体"/>
          <w:b w:val="0"/>
          <w:color w:val="000000" w:themeColor="text1"/>
          <w:sz w:val="32"/>
          <w:lang w:val="en-US" w:eastAsia="zh-CN"/>
          <w14:textFill>
            <w14:solidFill>
              <w14:schemeClr w14:val="tx1"/>
            </w14:solidFill>
          </w14:textFill>
        </w:rPr>
        <w:t>投标人须具备</w:t>
      </w:r>
      <w:r>
        <w:rPr>
          <w:rFonts w:hint="eastAsia" w:ascii="宋体" w:hAnsi="宋体" w:eastAsia="宋体" w:cs="宋体"/>
          <w:b w:val="0"/>
          <w:color w:val="000000" w:themeColor="text1"/>
          <w:sz w:val="32"/>
          <w14:textFill>
            <w14:solidFill>
              <w14:schemeClr w14:val="tx1"/>
            </w14:solidFill>
          </w14:textFill>
        </w:rPr>
        <w:t>消防设施维护保养检测机构从业条件或相应消防技术服务资质</w:t>
      </w:r>
      <w:r>
        <w:rPr>
          <w:rFonts w:hint="eastAsia" w:ascii="宋体" w:hAnsi="宋体" w:eastAsia="宋体" w:cs="宋体"/>
          <w:b w:val="0"/>
          <w:color w:val="000000" w:themeColor="text1"/>
          <w:sz w:val="32"/>
          <w:lang w:val="en-US" w:eastAsia="zh-CN"/>
          <w14:textFill>
            <w14:solidFill>
              <w14:schemeClr w14:val="tx1"/>
            </w14:solidFill>
          </w14:textFill>
        </w:rPr>
        <w:t>。</w:t>
      </w:r>
    </w:p>
    <w:p w14:paraId="2E628E6C">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6.质保期为合同签订后3年，质保期内设备损坏、故障均需上门服务，包含耗材配件，费用包含在报价之内。</w:t>
      </w:r>
    </w:p>
    <w:p w14:paraId="2294DA48">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三、确定成交供应商的原则和数量</w:t>
      </w:r>
    </w:p>
    <w:p w14:paraId="2417F32D">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询价小组从供货质量品质和服务能力均能满足采购文件实质性响应要求的供应商中，按照有效最低报价确定中标人，为成交供应商。若有2家及以上满足采购询价文件实质性响应要求且报价最低的供应商，则由询价小组投票选择成交供应商。投标人所报价格在合同实施期间,不因市场变化因素而变动或变相拒绝供货等。</w:t>
      </w:r>
    </w:p>
    <w:p w14:paraId="38F1356E">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四、采购要求及说明</w:t>
      </w:r>
    </w:p>
    <w:p w14:paraId="3CAFD9AA">
      <w:pPr>
        <w:spacing w:before="0" w:after="0" w:line="288" w:lineRule="auto"/>
        <w:ind w:firstLine="64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val="0"/>
          <w:sz w:val="32"/>
          <w:highlight w:val="none"/>
          <w:lang w:val="en-US" w:eastAsia="zh-CN"/>
        </w:rPr>
        <w:t>1.本次采购主要为</w:t>
      </w:r>
      <w:r>
        <w:rPr>
          <w:rFonts w:hint="eastAsia" w:ascii="宋体" w:hAnsi="宋体" w:eastAsia="宋体" w:cs="宋体"/>
          <w:b w:val="0"/>
          <w:color w:val="000000" w:themeColor="text1"/>
          <w:sz w:val="32"/>
          <w:highlight w:val="none"/>
          <w:lang w:val="en-US" w:eastAsia="zh-CN"/>
          <w14:textFill>
            <w14:solidFill>
              <w14:schemeClr w14:val="tx1"/>
            </w14:solidFill>
          </w14:textFill>
        </w:rPr>
        <w:t>合</w:t>
      </w:r>
      <w:r>
        <w:rPr>
          <w:rFonts w:hint="eastAsia" w:ascii="宋体" w:hAnsi="宋体" w:eastAsia="宋体" w:cs="宋体"/>
          <w:b w:val="0"/>
          <w:color w:val="000000" w:themeColor="text1"/>
          <w:sz w:val="32"/>
          <w:highlight w:val="none"/>
          <w14:textFill>
            <w14:solidFill>
              <w14:schemeClr w14:val="tx1"/>
            </w14:solidFill>
          </w14:textFill>
        </w:rPr>
        <w:t>肥四中</w:t>
      </w:r>
      <w:r>
        <w:rPr>
          <w:rFonts w:hint="eastAsia" w:ascii="宋体" w:hAnsi="宋体" w:eastAsia="宋体" w:cs="宋体"/>
          <w:b w:val="0"/>
          <w:color w:val="000000" w:themeColor="text1"/>
          <w:sz w:val="32"/>
          <w:highlight w:val="none"/>
          <w:lang w:val="en-US" w:eastAsia="zh-CN"/>
          <w14:textFill>
            <w14:solidFill>
              <w14:schemeClr w14:val="tx1"/>
            </w14:solidFill>
          </w14:textFill>
        </w:rPr>
        <w:t>迎淮路校</w:t>
      </w:r>
      <w:r>
        <w:rPr>
          <w:rFonts w:hint="eastAsia" w:ascii="宋体" w:hAnsi="宋体" w:eastAsia="宋体" w:cs="宋体"/>
          <w:b w:val="0"/>
          <w:color w:val="000000" w:themeColor="text1"/>
          <w:sz w:val="32"/>
          <w:highlight w:val="none"/>
          <w14:textFill>
            <w14:solidFill>
              <w14:schemeClr w14:val="tx1"/>
            </w14:solidFill>
          </w14:textFill>
        </w:rPr>
        <w:t>区机房、高压配电房</w:t>
      </w:r>
      <w:r>
        <w:rPr>
          <w:rFonts w:hint="eastAsia" w:ascii="宋体" w:hAnsi="宋体" w:eastAsia="宋体" w:cs="宋体"/>
          <w:b w:val="0"/>
          <w:color w:val="000000" w:themeColor="text1"/>
          <w:sz w:val="32"/>
          <w:highlight w:val="none"/>
          <w:lang w:eastAsia="zh-CN"/>
          <w14:textFill>
            <w14:solidFill>
              <w14:schemeClr w14:val="tx1"/>
            </w14:solidFill>
          </w14:textFill>
        </w:rPr>
        <w:t>、</w:t>
      </w:r>
      <w:r>
        <w:rPr>
          <w:rFonts w:hint="eastAsia" w:ascii="宋体" w:hAnsi="宋体" w:eastAsia="宋体" w:cs="宋体"/>
          <w:b w:val="0"/>
          <w:color w:val="000000" w:themeColor="text1"/>
          <w:sz w:val="32"/>
          <w:highlight w:val="none"/>
          <w:lang w:val="en-US" w:eastAsia="zh-CN"/>
          <w14:textFill>
            <w14:solidFill>
              <w14:schemeClr w14:val="tx1"/>
            </w14:solidFill>
          </w14:textFill>
        </w:rPr>
        <w:t>档案室</w:t>
      </w:r>
      <w:r>
        <w:rPr>
          <w:rFonts w:hint="eastAsia" w:ascii="宋体" w:hAnsi="宋体" w:eastAsia="宋体" w:cs="宋体"/>
          <w:b w:val="0"/>
          <w:color w:val="000000" w:themeColor="text1"/>
          <w:sz w:val="32"/>
          <w:highlight w:val="none"/>
          <w14:textFill>
            <w14:solidFill>
              <w14:schemeClr w14:val="tx1"/>
            </w14:solidFill>
          </w14:textFill>
        </w:rPr>
        <w:t>七氟丙烷气体灭火器的灭火剂充装，以及与之相关的检测、装卸运输、辅材等配套服务，具体数量以现场实际勘察为准。</w:t>
      </w:r>
    </w:p>
    <w:p w14:paraId="6773FB3D">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2.为保证采购的配件符合预设要求，供应商需按照采购人要求进行配件供应且兼容适配，</w:t>
      </w:r>
      <w:r>
        <w:rPr>
          <w:rFonts w:hint="eastAsia" w:ascii="宋体" w:hAnsi="宋体" w:eastAsia="宋体" w:cs="宋体"/>
          <w:b w:val="0"/>
          <w:color w:val="auto"/>
          <w:sz w:val="32"/>
          <w:highlight w:val="none"/>
          <w:lang w:val="en-US" w:eastAsia="zh-CN"/>
        </w:rPr>
        <w:t>提供产品的性能应不低于采购人需求。供应商应具有较强的设备储备和维修保障能力，确保监管设备稳定运行、质量品质、品牌型号优等。</w:t>
      </w:r>
    </w:p>
    <w:p w14:paraId="5A389CD6">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3.严禁成交供应商因成本、利润等原因选择性供货，故意不提供采购人所需要的设施设备，否则因未能完成供货而无法付款。</w:t>
      </w:r>
    </w:p>
    <w:p w14:paraId="766DF922">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4.质保需求</w:t>
      </w:r>
    </w:p>
    <w:p w14:paraId="75655506">
      <w:pPr>
        <w:spacing w:before="0" w:after="0" w:line="288" w:lineRule="auto"/>
        <w:ind w:firstLine="640"/>
        <w:rPr>
          <w:rFonts w:hint="eastAsia" w:ascii="宋体" w:hAnsi="宋体" w:eastAsia="宋体" w:cs="宋体"/>
          <w:b w:val="0"/>
          <w:color w:val="auto"/>
          <w:sz w:val="32"/>
          <w:highlight w:val="none"/>
          <w:lang w:val="en-US" w:eastAsia="zh-CN"/>
        </w:rPr>
      </w:pPr>
      <w:r>
        <w:rPr>
          <w:rFonts w:hint="eastAsia" w:ascii="宋体" w:hAnsi="宋体" w:eastAsia="宋体" w:cs="宋体"/>
          <w:b w:val="0"/>
          <w:color w:val="auto"/>
          <w:sz w:val="32"/>
          <w:highlight w:val="none"/>
          <w:lang w:val="en-US" w:eastAsia="zh-CN"/>
        </w:rPr>
        <w:t>依据采购人实际需求，供应商提供维修服务（费用包含在报价内），并应于采购人报修之时起1个小时内到现场进行维修，一般情况下应于到达现场后2个小时内将故障处理完毕。若在约定的时间内未能弥补缺陷，采购人可采取必要的补救措施或提供备用品且不影响使用功能，但其风险和费用包含在报价内。同一处或相同故障连续出现3次以上的，供应商必须更换全新机器设备。</w:t>
      </w:r>
    </w:p>
    <w:p w14:paraId="2CF9F105">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5.送货与验收要求：</w:t>
      </w:r>
    </w:p>
    <w:p w14:paraId="16EA308B">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（1）成交供应商须及时将配件物品送到采购人指定地点，在发送物品之前，应预先联系采购人商定具体时间，以便采购人准备接货。</w:t>
      </w:r>
    </w:p>
    <w:p w14:paraId="68E4C100">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（2）发送物资的包装应满足防湿防破、完整无损的要求，保证物品安全完整到校。物资在到达采购人所在地及收货前发生的不可预见的风险均由成交供应商自行负责。</w:t>
      </w:r>
    </w:p>
    <w:p w14:paraId="73832F96">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（3）提供设备货物务必按照采购人要求的规格参数、品种数量等供货租赁，否则无法完成支付。</w:t>
      </w:r>
    </w:p>
    <w:p w14:paraId="1B8933C7">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（4）成交供应商须具有良好的本地化服务能力，根据采购人需求及时派人到校处理配件设备故障、巡检巡查、更换旧设备、结账等事务。</w:t>
      </w:r>
    </w:p>
    <w:p w14:paraId="25E74FC9">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（5）送货交接、退货补发等环节所发生的费用全部由成交供应商自行承担。</w:t>
      </w:r>
    </w:p>
    <w:p w14:paraId="3D354491">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（6）询价供应商需联系采购部门，自行勘测现场，了解采购人需求，慎重报价，报价一经认可，即为签订合同最终依据。</w:t>
      </w:r>
    </w:p>
    <w:p w14:paraId="58674128">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6.合同与验收要求：</w:t>
      </w:r>
    </w:p>
    <w:p w14:paraId="2EBB572C">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（1）成交供应商在接到中标通知且公示无异议后，须及时与采购人签订合同，合同主要内容约定不低于询价规格参数要求，否则签订合同无效；</w:t>
      </w:r>
    </w:p>
    <w:p w14:paraId="1CD42E84">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（2）在发送物品之前，应预先联系采购人商定具体时间、地点，准备好验收单（验收单填写以本次采购信息为准），以便采购人接货验收，验收时采购人不少于3人现场核验，核实无误后签字验收。</w:t>
      </w:r>
    </w:p>
    <w:p w14:paraId="1BE010D3">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（3）合同、验收单均一式三份，一份交由保卫科存档，一份交由申购部门办理转账支付使用，一份由供应商自行留存。</w:t>
      </w:r>
    </w:p>
    <w:p w14:paraId="2AF592C6">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五、付款要求</w:t>
      </w:r>
    </w:p>
    <w:p w14:paraId="20578780">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 xml:space="preserve">双方签订合同（或徽采云供应商使用在线电子合同）后，设备送达采购人指定位置，安装调试完成，经双方验收无误后办理一次性结款。双方 （采购人验收不少于 3 人）签字验收作为结账付款附件。  </w:t>
      </w:r>
    </w:p>
    <w:p w14:paraId="1278C735">
      <w:pPr>
        <w:spacing w:before="0" w:after="0" w:line="288" w:lineRule="auto"/>
        <w:ind w:firstLine="640"/>
        <w:rPr>
          <w:rFonts w:hint="eastAsia" w:ascii="宋体" w:hAnsi="宋体" w:eastAsia="宋体" w:cs="宋体"/>
          <w:b w:val="0"/>
          <w:sz w:val="32"/>
          <w:highlight w:val="none"/>
          <w:lang w:val="en-US" w:eastAsia="zh-CN"/>
        </w:rPr>
      </w:pPr>
      <w:r>
        <w:rPr>
          <w:rFonts w:hint="eastAsia" w:ascii="宋体" w:hAnsi="宋体" w:eastAsia="宋体" w:cs="宋体"/>
          <w:b w:val="0"/>
          <w:sz w:val="32"/>
          <w:highlight w:val="none"/>
          <w:lang w:val="en-US" w:eastAsia="zh-CN"/>
        </w:rPr>
        <w:t>为了既保证供应商有合理利润，同时又能保证采购人采购的质量品质和售后服务，报价应控制在合理的幅度范围内，其中报价应包括设备购置安装、物流调换、拆装搬运、安装调试、线路辅材、巡查巡检、维护维修、售后质保等一切费用在内，投标报价后不再增补任何费用。</w:t>
      </w:r>
    </w:p>
    <w:p w14:paraId="3D5726D6">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六、报价须知</w:t>
      </w:r>
    </w:p>
    <w:p w14:paraId="0978F998">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1.报价方式：填报询价单；</w:t>
      </w:r>
    </w:p>
    <w:p w14:paraId="37BADBE7">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2.最高限价：90000.00元；</w:t>
      </w:r>
    </w:p>
    <w:p w14:paraId="044FE85C">
      <w:pPr>
        <w:spacing w:before="0" w:after="0" w:line="288" w:lineRule="auto"/>
        <w:ind w:firstLine="640"/>
        <w:rPr>
          <w:rFonts w:hint="default" w:ascii="宋体" w:hAnsi="宋体" w:eastAsia="宋体" w:cs="宋体"/>
          <w:b w:val="0"/>
          <w:sz w:val="32"/>
          <w:lang w:val="en-US" w:eastAsia="zh-CN"/>
        </w:rPr>
      </w:pPr>
      <w:r>
        <w:rPr>
          <w:rFonts w:hint="eastAsia" w:ascii="宋体" w:hAnsi="宋体" w:eastAsia="宋体" w:cs="宋体"/>
          <w:b w:val="0"/>
          <w:sz w:val="32"/>
          <w:lang w:val="en-US" w:eastAsia="zh-CN"/>
        </w:rPr>
        <w:t>3.本次报价包含到校拆除、运输、安装全过程、外观补漆、零备件更换等</w:t>
      </w:r>
    </w:p>
    <w:p w14:paraId="1A94AEB2">
      <w:pPr>
        <w:spacing w:before="0" w:after="0" w:line="288" w:lineRule="auto"/>
        <w:ind w:firstLine="640"/>
        <w:rPr>
          <w:rFonts w:hint="default" w:ascii="宋体" w:hAnsi="宋体" w:eastAsia="宋体" w:cs="宋体"/>
          <w:b w:val="0"/>
          <w:color w:val="000000" w:themeColor="text1"/>
          <w:sz w:val="32"/>
          <w:lang w:val="en-US" w:eastAsia="zh-CN"/>
          <w14:textFill>
            <w14:solidFill>
              <w14:schemeClr w14:val="tx1"/>
            </w14:solidFill>
          </w14:textFill>
        </w:rPr>
      </w:pPr>
      <w:r>
        <w:rPr>
          <w:rFonts w:hint="eastAsia" w:ascii="宋体" w:hAnsi="宋体" w:eastAsia="宋体" w:cs="宋体"/>
          <w:b w:val="0"/>
          <w:color w:val="000000" w:themeColor="text1"/>
          <w:sz w:val="32"/>
          <w:lang w:val="en-US" w:eastAsia="zh-CN"/>
          <w14:textFill>
            <w14:solidFill>
              <w14:schemeClr w14:val="tx1"/>
            </w14:solidFill>
          </w14:textFill>
        </w:rPr>
        <w:t>七、报价时间地点</w:t>
      </w:r>
    </w:p>
    <w:p w14:paraId="5F67EAE1">
      <w:pPr>
        <w:spacing w:before="0" w:after="0" w:line="288" w:lineRule="auto"/>
        <w:ind w:firstLine="640"/>
        <w:rPr>
          <w:rFonts w:hint="default" w:ascii="宋体" w:hAnsi="宋体" w:eastAsia="宋体" w:cs="宋体"/>
          <w:b w:val="0"/>
          <w:color w:val="000000" w:themeColor="text1"/>
          <w:sz w:val="32"/>
          <w:lang w:val="en-US" w:eastAsia="zh-CN"/>
          <w14:textFill>
            <w14:solidFill>
              <w14:schemeClr w14:val="tx1"/>
            </w14:solidFill>
          </w14:textFill>
        </w:rPr>
      </w:pPr>
      <w:r>
        <w:rPr>
          <w:rFonts w:hint="eastAsia" w:ascii="宋体" w:hAnsi="宋体" w:eastAsia="宋体" w:cs="宋体"/>
          <w:b w:val="0"/>
          <w:color w:val="000000" w:themeColor="text1"/>
          <w:sz w:val="32"/>
          <w:lang w:val="en-US" w:eastAsia="zh-CN"/>
          <w14:textFill>
            <w14:solidFill>
              <w14:schemeClr w14:val="tx1"/>
            </w14:solidFill>
          </w14:textFill>
        </w:rPr>
        <w:t>1.报价时间：</w:t>
      </w:r>
      <w:r>
        <w:rPr>
          <w:rFonts w:hint="eastAsia" w:ascii="宋体" w:hAnsi="宋体" w:eastAsia="宋体" w:cs="宋体"/>
          <w:b w:val="0"/>
          <w:color w:val="000000" w:themeColor="text1"/>
          <w:sz w:val="32"/>
          <w14:textFill>
            <w14:solidFill>
              <w14:schemeClr w14:val="tx1"/>
            </w14:solidFill>
          </w14:textFill>
        </w:rPr>
        <w:t>2026年</w:t>
      </w:r>
      <w:r>
        <w:rPr>
          <w:rFonts w:hint="eastAsia" w:ascii="宋体" w:hAnsi="宋体" w:eastAsia="宋体" w:cs="宋体"/>
          <w:b w:val="0"/>
          <w:color w:val="000000" w:themeColor="text1"/>
          <w:sz w:val="32"/>
          <w:lang w:val="en-US" w:eastAsia="zh-CN"/>
          <w14:textFill>
            <w14:solidFill>
              <w14:schemeClr w14:val="tx1"/>
            </w14:solidFill>
          </w14:textFill>
        </w:rPr>
        <w:t>10</w:t>
      </w:r>
      <w:r>
        <w:rPr>
          <w:rFonts w:hint="eastAsia" w:ascii="宋体" w:hAnsi="宋体" w:eastAsia="宋体" w:cs="宋体"/>
          <w:b w:val="0"/>
          <w:color w:val="000000" w:themeColor="text1"/>
          <w:sz w:val="32"/>
          <w14:textFill>
            <w14:solidFill>
              <w14:schemeClr w14:val="tx1"/>
            </w14:solidFill>
          </w14:textFill>
        </w:rPr>
        <w:t>月</w:t>
      </w:r>
      <w:r>
        <w:rPr>
          <w:rFonts w:hint="eastAsia" w:ascii="宋体" w:hAnsi="宋体" w:eastAsia="宋体" w:cs="宋体"/>
          <w:b w:val="0"/>
          <w:color w:val="000000" w:themeColor="text1"/>
          <w:sz w:val="32"/>
          <w:lang w:val="en-US" w:eastAsia="zh-CN"/>
          <w14:textFill>
            <w14:solidFill>
              <w14:schemeClr w14:val="tx1"/>
            </w14:solidFill>
          </w14:textFill>
        </w:rPr>
        <w:t>13</w:t>
      </w:r>
      <w:r>
        <w:rPr>
          <w:rFonts w:hint="eastAsia" w:ascii="宋体" w:hAnsi="宋体" w:eastAsia="宋体" w:cs="宋体"/>
          <w:b w:val="0"/>
          <w:color w:val="000000" w:themeColor="text1"/>
          <w:sz w:val="32"/>
          <w14:textFill>
            <w14:solidFill>
              <w14:schemeClr w14:val="tx1"/>
            </w14:solidFill>
          </w14:textFill>
        </w:rPr>
        <w:t>日至2026年</w:t>
      </w:r>
      <w:r>
        <w:rPr>
          <w:rFonts w:hint="eastAsia" w:ascii="宋体" w:hAnsi="宋体" w:eastAsia="宋体" w:cs="宋体"/>
          <w:b w:val="0"/>
          <w:color w:val="000000" w:themeColor="text1"/>
          <w:sz w:val="32"/>
          <w:lang w:val="en-US" w:eastAsia="zh-CN"/>
          <w14:textFill>
            <w14:solidFill>
              <w14:schemeClr w14:val="tx1"/>
            </w14:solidFill>
          </w14:textFill>
        </w:rPr>
        <w:t>10</w:t>
      </w:r>
      <w:r>
        <w:rPr>
          <w:rFonts w:hint="eastAsia" w:ascii="宋体" w:hAnsi="宋体" w:eastAsia="宋体" w:cs="宋体"/>
          <w:b w:val="0"/>
          <w:color w:val="000000" w:themeColor="text1"/>
          <w:sz w:val="32"/>
          <w14:textFill>
            <w14:solidFill>
              <w14:schemeClr w14:val="tx1"/>
            </w14:solidFill>
          </w14:textFill>
        </w:rPr>
        <w:t>月</w:t>
      </w:r>
      <w:r>
        <w:rPr>
          <w:rFonts w:hint="eastAsia" w:ascii="宋体" w:hAnsi="宋体" w:eastAsia="宋体" w:cs="宋体"/>
          <w:b w:val="0"/>
          <w:color w:val="000000" w:themeColor="text1"/>
          <w:sz w:val="32"/>
          <w:lang w:val="en-US" w:eastAsia="zh-CN"/>
          <w14:textFill>
            <w14:solidFill>
              <w14:schemeClr w14:val="tx1"/>
            </w14:solidFill>
          </w14:textFill>
        </w:rPr>
        <w:t>15</w:t>
      </w:r>
      <w:bookmarkStart w:id="0" w:name="_GoBack"/>
      <w:bookmarkEnd w:id="0"/>
      <w:r>
        <w:rPr>
          <w:rFonts w:hint="eastAsia" w:ascii="宋体" w:hAnsi="宋体" w:eastAsia="宋体" w:cs="宋体"/>
          <w:b w:val="0"/>
          <w:color w:val="000000" w:themeColor="text1"/>
          <w:sz w:val="32"/>
          <w14:textFill>
            <w14:solidFill>
              <w14:schemeClr w14:val="tx1"/>
            </w14:solidFill>
          </w14:textFill>
        </w:rPr>
        <w:t>日</w:t>
      </w:r>
      <w:r>
        <w:rPr>
          <w:rFonts w:hint="eastAsia" w:ascii="宋体" w:hAnsi="宋体" w:eastAsia="宋体" w:cs="宋体"/>
          <w:b w:val="0"/>
          <w:color w:val="000000" w:themeColor="text1"/>
          <w:sz w:val="32"/>
          <w:lang w:val="en-US" w:eastAsia="zh-CN"/>
          <w14:textFill>
            <w14:solidFill>
              <w14:schemeClr w14:val="tx1"/>
            </w14:solidFill>
          </w14:textFill>
        </w:rPr>
        <w:t>工作日8:00-17:00</w:t>
      </w:r>
    </w:p>
    <w:p w14:paraId="729E2C89">
      <w:pPr>
        <w:spacing w:before="0" w:after="0" w:line="288" w:lineRule="auto"/>
        <w:ind w:firstLine="640"/>
        <w:rPr>
          <w:rFonts w:hint="default" w:ascii="宋体" w:hAnsi="宋体" w:eastAsia="宋体" w:cs="宋体"/>
          <w:b w:val="0"/>
          <w:color w:val="000000" w:themeColor="text1"/>
          <w:sz w:val="32"/>
          <w:lang w:val="en-US" w:eastAsia="zh-CN"/>
          <w14:textFill>
            <w14:solidFill>
              <w14:schemeClr w14:val="tx1"/>
            </w14:solidFill>
          </w14:textFill>
        </w:rPr>
      </w:pPr>
      <w:r>
        <w:rPr>
          <w:rFonts w:hint="eastAsia" w:ascii="宋体" w:hAnsi="宋体" w:eastAsia="宋体" w:cs="宋体"/>
          <w:b w:val="0"/>
          <w:color w:val="000000" w:themeColor="text1"/>
          <w:sz w:val="32"/>
          <w:lang w:val="en-US" w:eastAsia="zh-CN"/>
          <w14:textFill>
            <w14:solidFill>
              <w14:schemeClr w14:val="tx1"/>
            </w14:solidFill>
          </w14:textFill>
        </w:rPr>
        <w:t>2.报价地点及联系人：合肥四中保卫科 李老师18556550960</w:t>
      </w:r>
    </w:p>
    <w:p w14:paraId="4ED4FFB4">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八、评标办法：最低价中标</w:t>
      </w:r>
    </w:p>
    <w:p w14:paraId="76386F42">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九、报价人复函内容（本着节约原则，投标人仅需提供以下4项材料即可，无需胶装封面等，信封密封提交；其他相关证书证件原件中标后备查。）</w:t>
      </w:r>
    </w:p>
    <w:p w14:paraId="18B47323">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1.响应本次询价报价单；（原件加盖公章）</w:t>
      </w:r>
    </w:p>
    <w:p w14:paraId="4B2EF200">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2.营业执照；（复印件加盖公章）</w:t>
      </w:r>
    </w:p>
    <w:p w14:paraId="26DDCFBE">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3.法人联系电话或授权代理人联系电话；（加盖公章）</w:t>
      </w:r>
    </w:p>
    <w:p w14:paraId="0675064A">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4.服务承诺书（承诺内容需包含对《安徽消防管理条例》标准要求响应、安装资质、应急响应时间等），格式自拟。</w:t>
      </w:r>
    </w:p>
    <w:p w14:paraId="7CA59BEB">
      <w:pPr>
        <w:spacing w:before="0" w:after="0" w:line="288" w:lineRule="auto"/>
        <w:ind w:firstLine="640"/>
        <w:rPr>
          <w:rFonts w:hint="eastAsia" w:ascii="宋体" w:hAnsi="宋体" w:eastAsia="宋体" w:cs="宋体"/>
          <w:b w:val="0"/>
          <w:sz w:val="32"/>
          <w:lang w:val="en-US" w:eastAsia="zh-CN"/>
        </w:rPr>
      </w:pPr>
      <w:r>
        <w:rPr>
          <w:rFonts w:hint="eastAsia" w:ascii="宋体" w:hAnsi="宋体" w:eastAsia="宋体" w:cs="宋体"/>
          <w:b w:val="0"/>
          <w:sz w:val="32"/>
          <w:lang w:val="en-US" w:eastAsia="zh-CN"/>
        </w:rPr>
        <w:t>注：报价单要经法定代表人或其授权代表签字、盖章；如为授权代表签字，请附法定代表人授权委托书（授权委托书需加盖单位公章，提供委托书原件）</w:t>
      </w:r>
    </w:p>
    <w:p w14:paraId="333574D1">
      <w:pPr>
        <w:spacing w:before="0" w:after="0" w:line="288" w:lineRule="auto"/>
        <w:ind w:firstLine="640"/>
        <w:rPr>
          <w:rFonts w:hint="eastAsia" w:ascii="宋体" w:hAnsi="宋体" w:eastAsia="宋体" w:cs="宋体"/>
          <w:b w:val="0"/>
          <w:sz w:val="32"/>
          <w:lang w:val="en-US" w:eastAsia="zh-CN"/>
        </w:rPr>
        <w:sectPr>
          <w:pgSz w:w="11906" w:h="16838"/>
          <w:pgMar w:top="2098" w:right="1474" w:bottom="1984" w:left="1587" w:header="720" w:footer="720" w:gutter="0"/>
          <w:cols w:space="720" w:num="1"/>
          <w:docGrid w:linePitch="360" w:charSpace="0"/>
        </w:sectPr>
      </w:pPr>
    </w:p>
    <w:p w14:paraId="101A646B">
      <w:pPr>
        <w:spacing w:before="0" w:after="0" w:line="288" w:lineRule="auto"/>
        <w:rPr>
          <w:rFonts w:hint="eastAsia" w:ascii="宋体" w:hAnsi="宋体" w:eastAsia="宋体" w:cs="宋体"/>
          <w:b w:val="0"/>
          <w:color w:val="000000" w:themeColor="text1"/>
          <w:sz w:val="32"/>
          <w:lang w:val="en-US" w:eastAsia="zh-CN"/>
          <w14:textFill>
            <w14:solidFill>
              <w14:schemeClr w14:val="tx1"/>
            </w14:solidFill>
          </w14:textFill>
        </w:rPr>
      </w:pPr>
      <w:r>
        <w:rPr>
          <w:rFonts w:hint="eastAsia" w:ascii="宋体" w:hAnsi="宋体" w:eastAsia="宋体" w:cs="宋体"/>
          <w:b w:val="0"/>
          <w:color w:val="000000" w:themeColor="text1"/>
          <w:sz w:val="32"/>
          <w:lang w:val="en-US" w:eastAsia="zh-CN"/>
          <w14:textFill>
            <w14:solidFill>
              <w14:schemeClr w14:val="tx1"/>
            </w14:solidFill>
          </w14:textFill>
        </w:rPr>
        <w:t>附件1：响应本次询价报价单：</w:t>
      </w:r>
    </w:p>
    <w:p w14:paraId="61E0E23B">
      <w:pPr>
        <w:ind w:left="0" w:leftChars="0" w:firstLine="0" w:firstLineChars="0"/>
        <w:jc w:val="center"/>
        <w:rPr>
          <w:rFonts w:hint="eastAsia" w:ascii="宋体" w:hAnsi="宋体" w:eastAsia="宋体" w:cs="宋体"/>
          <w:b/>
          <w:bCs/>
          <w:sz w:val="40"/>
          <w:szCs w:val="28"/>
        </w:rPr>
      </w:pPr>
      <w:r>
        <w:rPr>
          <w:rFonts w:hint="eastAsia" w:ascii="宋体" w:hAnsi="宋体" w:eastAsia="宋体" w:cs="宋体"/>
          <w:b/>
          <w:bCs/>
          <w:sz w:val="40"/>
          <w:szCs w:val="28"/>
        </w:rPr>
        <w:t>气体灭火充装工程量报价清单</w:t>
      </w:r>
    </w:p>
    <w:p w14:paraId="1337FE2F">
      <w:pPr>
        <w:ind w:left="0" w:leftChars="0" w:firstLine="0" w:firstLineChars="0"/>
        <w:jc w:val="left"/>
        <w:rPr>
          <w:rFonts w:hint="default" w:ascii="宋体" w:hAnsi="宋体" w:eastAsia="宋体" w:cs="宋体"/>
          <w:b w:val="0"/>
          <w:bCs w:val="0"/>
          <w:sz w:val="28"/>
          <w:szCs w:val="21"/>
          <w:lang w:val="en-US" w:eastAsia="zh-CN"/>
        </w:rPr>
      </w:pPr>
      <w:r>
        <w:rPr>
          <w:rFonts w:hint="eastAsia" w:ascii="宋体" w:hAnsi="宋体" w:eastAsia="宋体" w:cs="宋体"/>
          <w:b w:val="0"/>
          <w:bCs w:val="0"/>
          <w:sz w:val="28"/>
          <w:szCs w:val="21"/>
          <w:lang w:val="en-US" w:eastAsia="zh-CN"/>
        </w:rPr>
        <w:t>报价人：                 报价日期：</w:t>
      </w:r>
    </w:p>
    <w:tbl>
      <w:tblPr>
        <w:tblStyle w:val="6"/>
        <w:tblW w:w="97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134"/>
        <w:gridCol w:w="1134"/>
        <w:gridCol w:w="1134"/>
        <w:gridCol w:w="1134"/>
        <w:gridCol w:w="1134"/>
        <w:gridCol w:w="1134"/>
        <w:gridCol w:w="1134"/>
        <w:gridCol w:w="1134"/>
      </w:tblGrid>
      <w:tr w14:paraId="4E18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680" w:type="dxa"/>
            <w:vAlign w:val="center"/>
          </w:tcPr>
          <w:p w14:paraId="06C6324B">
            <w:pPr>
              <w:ind w:left="0" w:leftChars="0" w:firstLine="0" w:firstLineChars="0"/>
              <w:jc w:val="center"/>
              <w:rPr>
                <w:rFonts w:hint="eastAsia" w:ascii="宋体" w:hAnsi="宋体" w:eastAsia="宋体" w:cs="宋体"/>
                <w:b/>
                <w:bCs/>
                <w:sz w:val="40"/>
                <w:szCs w:val="28"/>
                <w:vertAlign w:val="baseline"/>
                <w:lang w:val="en-US" w:eastAsia="zh-CN"/>
              </w:rPr>
            </w:pPr>
            <w:r>
              <w:rPr>
                <w:rFonts w:hint="eastAsia" w:ascii="宋体" w:hAnsi="宋体" w:eastAsia="宋体" w:cs="宋体"/>
                <w:b/>
                <w:bCs/>
                <w:sz w:val="24"/>
                <w:szCs w:val="20"/>
                <w:vertAlign w:val="baseline"/>
                <w:lang w:val="en-US" w:eastAsia="zh-CN"/>
              </w:rPr>
              <w:t>序号</w:t>
            </w:r>
          </w:p>
        </w:tc>
        <w:tc>
          <w:tcPr>
            <w:tcW w:w="1134" w:type="dxa"/>
            <w:vAlign w:val="center"/>
          </w:tcPr>
          <w:p w14:paraId="3380C6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系统</w:t>
            </w:r>
          </w:p>
        </w:tc>
        <w:tc>
          <w:tcPr>
            <w:tcW w:w="1134" w:type="dxa"/>
            <w:vAlign w:val="center"/>
          </w:tcPr>
          <w:p w14:paraId="2BCE29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名称</w:t>
            </w:r>
          </w:p>
        </w:tc>
        <w:tc>
          <w:tcPr>
            <w:tcW w:w="1134" w:type="dxa"/>
            <w:vAlign w:val="center"/>
          </w:tcPr>
          <w:p w14:paraId="40A121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技术</w:t>
            </w:r>
          </w:p>
          <w:p w14:paraId="5691FE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要求</w:t>
            </w:r>
          </w:p>
        </w:tc>
        <w:tc>
          <w:tcPr>
            <w:tcW w:w="1134" w:type="dxa"/>
            <w:vAlign w:val="center"/>
          </w:tcPr>
          <w:p w14:paraId="69AFB4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单位</w:t>
            </w:r>
          </w:p>
          <w:p w14:paraId="63D87E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（升）</w:t>
            </w:r>
          </w:p>
        </w:tc>
        <w:tc>
          <w:tcPr>
            <w:tcW w:w="1134" w:type="dxa"/>
            <w:vAlign w:val="center"/>
          </w:tcPr>
          <w:p w14:paraId="21BC33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数量</w:t>
            </w:r>
          </w:p>
        </w:tc>
        <w:tc>
          <w:tcPr>
            <w:tcW w:w="1134" w:type="dxa"/>
            <w:vAlign w:val="center"/>
          </w:tcPr>
          <w:p w14:paraId="60C729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单价</w:t>
            </w:r>
          </w:p>
          <w:p w14:paraId="22F31B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（元）</w:t>
            </w:r>
          </w:p>
        </w:tc>
        <w:tc>
          <w:tcPr>
            <w:tcW w:w="1134" w:type="dxa"/>
            <w:vAlign w:val="center"/>
          </w:tcPr>
          <w:p w14:paraId="30EE46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合计</w:t>
            </w:r>
          </w:p>
          <w:p w14:paraId="682A6F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（元）</w:t>
            </w:r>
          </w:p>
        </w:tc>
        <w:tc>
          <w:tcPr>
            <w:tcW w:w="1134" w:type="dxa"/>
            <w:vAlign w:val="center"/>
          </w:tcPr>
          <w:p w14:paraId="2042B1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备注</w:t>
            </w:r>
          </w:p>
        </w:tc>
      </w:tr>
      <w:tr w14:paraId="3BEF9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680" w:type="dxa"/>
            <w:vAlign w:val="center"/>
          </w:tcPr>
          <w:p w14:paraId="1EC5B395">
            <w:pPr>
              <w:ind w:left="0" w:leftChars="0" w:firstLine="0" w:firstLineChars="0"/>
              <w:jc w:val="center"/>
              <w:rPr>
                <w:rFonts w:hint="eastAsia" w:ascii="宋体" w:hAnsi="宋体" w:eastAsia="宋体" w:cs="宋体"/>
                <w:b w:val="0"/>
                <w:bCs w:val="0"/>
                <w:sz w:val="24"/>
                <w:szCs w:val="20"/>
                <w:vertAlign w:val="baseline"/>
                <w:lang w:val="en-US" w:eastAsia="zh-CN"/>
              </w:rPr>
            </w:pPr>
            <w:r>
              <w:rPr>
                <w:rFonts w:hint="eastAsia" w:ascii="宋体" w:hAnsi="宋体" w:eastAsia="宋体" w:cs="宋体"/>
                <w:b w:val="0"/>
                <w:bCs w:val="0"/>
                <w:sz w:val="24"/>
                <w:szCs w:val="20"/>
                <w:vertAlign w:val="baseline"/>
                <w:lang w:val="en-US" w:eastAsia="zh-CN"/>
              </w:rPr>
              <w:t>1</w:t>
            </w:r>
          </w:p>
        </w:tc>
        <w:tc>
          <w:tcPr>
            <w:tcW w:w="1134" w:type="dxa"/>
            <w:vAlign w:val="center"/>
          </w:tcPr>
          <w:p w14:paraId="4BC21641">
            <w:pPr>
              <w:ind w:left="0" w:leftChars="0" w:firstLine="0" w:firstLineChars="0"/>
              <w:jc w:val="center"/>
              <w:rPr>
                <w:rFonts w:hint="default" w:ascii="宋体" w:hAnsi="宋体" w:eastAsia="宋体" w:cs="宋体"/>
                <w:b w:val="0"/>
                <w:bCs w:val="0"/>
                <w:sz w:val="24"/>
                <w:szCs w:val="20"/>
                <w:vertAlign w:val="baseline"/>
                <w:lang w:val="en-US" w:eastAsia="zh-CN"/>
              </w:rPr>
            </w:pPr>
            <w:r>
              <w:rPr>
                <w:rFonts w:hint="eastAsia" w:ascii="宋体" w:hAnsi="宋体" w:eastAsia="宋体" w:cs="宋体"/>
                <w:b w:val="0"/>
                <w:bCs w:val="0"/>
                <w:sz w:val="24"/>
                <w:szCs w:val="20"/>
                <w:vertAlign w:val="baseline"/>
                <w:lang w:val="en-US" w:eastAsia="zh-CN"/>
              </w:rPr>
              <w:t>灭火剂充装</w:t>
            </w:r>
          </w:p>
        </w:tc>
        <w:tc>
          <w:tcPr>
            <w:tcW w:w="1134" w:type="dxa"/>
            <w:vAlign w:val="center"/>
          </w:tcPr>
          <w:p w14:paraId="09985194">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7A33CEF1">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73CB22FD">
            <w:pPr>
              <w:ind w:left="0" w:leftChars="0" w:firstLine="0" w:firstLineChars="0"/>
              <w:jc w:val="center"/>
              <w:rPr>
                <w:rFonts w:hint="default" w:ascii="宋体" w:hAnsi="宋体" w:eastAsia="宋体" w:cs="宋体"/>
                <w:b w:val="0"/>
                <w:bCs w:val="0"/>
                <w:sz w:val="24"/>
                <w:szCs w:val="20"/>
                <w:vertAlign w:val="baseline"/>
                <w:lang w:val="en-US" w:eastAsia="zh-CN"/>
              </w:rPr>
            </w:pPr>
            <w:r>
              <w:rPr>
                <w:rFonts w:hint="eastAsia" w:ascii="宋体" w:hAnsi="宋体" w:eastAsia="宋体" w:cs="宋体"/>
                <w:b w:val="0"/>
                <w:bCs w:val="0"/>
                <w:sz w:val="24"/>
                <w:szCs w:val="20"/>
                <w:vertAlign w:val="baseline"/>
                <w:lang w:val="en-US" w:eastAsia="zh-CN"/>
              </w:rPr>
              <w:t>150</w:t>
            </w:r>
          </w:p>
        </w:tc>
        <w:tc>
          <w:tcPr>
            <w:tcW w:w="1134" w:type="dxa"/>
            <w:vAlign w:val="center"/>
          </w:tcPr>
          <w:p w14:paraId="599449F4">
            <w:pPr>
              <w:ind w:left="0" w:leftChars="0" w:firstLine="0" w:firstLineChars="0"/>
              <w:jc w:val="center"/>
              <w:rPr>
                <w:rFonts w:hint="default" w:ascii="宋体" w:hAnsi="宋体" w:eastAsia="宋体" w:cs="宋体"/>
                <w:b w:val="0"/>
                <w:bCs w:val="0"/>
                <w:sz w:val="24"/>
                <w:szCs w:val="20"/>
                <w:vertAlign w:val="baseline"/>
                <w:lang w:val="en-US" w:eastAsia="zh-CN"/>
              </w:rPr>
            </w:pPr>
            <w:r>
              <w:rPr>
                <w:rFonts w:hint="eastAsia" w:ascii="宋体" w:hAnsi="宋体" w:eastAsia="宋体" w:cs="宋体"/>
                <w:b w:val="0"/>
                <w:bCs w:val="0"/>
                <w:sz w:val="24"/>
                <w:szCs w:val="20"/>
                <w:vertAlign w:val="baseline"/>
                <w:lang w:val="en-US" w:eastAsia="zh-CN"/>
              </w:rPr>
              <w:t>17</w:t>
            </w:r>
          </w:p>
        </w:tc>
        <w:tc>
          <w:tcPr>
            <w:tcW w:w="1134" w:type="dxa"/>
            <w:vAlign w:val="center"/>
          </w:tcPr>
          <w:p w14:paraId="3AC4BBF3">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35DAF920">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54D86ED0">
            <w:pPr>
              <w:ind w:left="0" w:leftChars="0" w:firstLine="0" w:firstLineChars="0"/>
              <w:jc w:val="center"/>
              <w:rPr>
                <w:rFonts w:hint="default" w:ascii="宋体" w:hAnsi="宋体" w:eastAsia="宋体" w:cs="宋体"/>
                <w:b w:val="0"/>
                <w:bCs w:val="0"/>
                <w:sz w:val="24"/>
                <w:szCs w:val="20"/>
                <w:vertAlign w:val="baseline"/>
                <w:lang w:val="en-US" w:eastAsia="zh-CN"/>
              </w:rPr>
            </w:pPr>
          </w:p>
        </w:tc>
      </w:tr>
      <w:tr w14:paraId="15C80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80" w:type="dxa"/>
            <w:vAlign w:val="center"/>
          </w:tcPr>
          <w:p w14:paraId="2AEE75F8">
            <w:pPr>
              <w:ind w:left="0" w:leftChars="0" w:firstLine="0" w:firstLineChars="0"/>
              <w:jc w:val="center"/>
              <w:rPr>
                <w:rFonts w:hint="eastAsia" w:ascii="宋体" w:hAnsi="宋体" w:eastAsia="宋体" w:cs="宋体"/>
                <w:b w:val="0"/>
                <w:bCs w:val="0"/>
                <w:sz w:val="24"/>
                <w:szCs w:val="20"/>
                <w:vertAlign w:val="baseline"/>
                <w:lang w:val="en-US" w:eastAsia="zh-CN"/>
              </w:rPr>
            </w:pPr>
            <w:r>
              <w:rPr>
                <w:rFonts w:hint="eastAsia" w:ascii="宋体" w:hAnsi="宋体" w:eastAsia="宋体" w:cs="宋体"/>
                <w:b w:val="0"/>
                <w:bCs w:val="0"/>
                <w:sz w:val="24"/>
                <w:szCs w:val="20"/>
                <w:vertAlign w:val="baseline"/>
                <w:lang w:val="en-US" w:eastAsia="zh-CN"/>
              </w:rPr>
              <w:t>2</w:t>
            </w:r>
          </w:p>
        </w:tc>
        <w:tc>
          <w:tcPr>
            <w:tcW w:w="1134" w:type="dxa"/>
            <w:vAlign w:val="center"/>
          </w:tcPr>
          <w:p w14:paraId="2576E014">
            <w:pPr>
              <w:ind w:left="0" w:leftChars="0" w:firstLine="0" w:firstLineChars="0"/>
              <w:jc w:val="center"/>
              <w:rPr>
                <w:rFonts w:hint="default" w:ascii="宋体" w:hAnsi="宋体" w:eastAsia="宋体" w:cs="宋体"/>
                <w:b w:val="0"/>
                <w:bCs w:val="0"/>
                <w:sz w:val="24"/>
                <w:szCs w:val="20"/>
                <w:vertAlign w:val="baseline"/>
                <w:lang w:val="en-US" w:eastAsia="zh-CN"/>
              </w:rPr>
            </w:pPr>
            <w:r>
              <w:rPr>
                <w:rFonts w:hint="eastAsia" w:ascii="宋体" w:hAnsi="宋体" w:eastAsia="宋体" w:cs="宋体"/>
                <w:b w:val="0"/>
                <w:bCs w:val="0"/>
                <w:sz w:val="24"/>
                <w:szCs w:val="20"/>
                <w:vertAlign w:val="baseline"/>
                <w:lang w:val="en-US" w:eastAsia="zh-CN"/>
              </w:rPr>
              <w:t>检测</w:t>
            </w:r>
          </w:p>
        </w:tc>
        <w:tc>
          <w:tcPr>
            <w:tcW w:w="1134" w:type="dxa"/>
            <w:vAlign w:val="center"/>
          </w:tcPr>
          <w:p w14:paraId="643DE4BF">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1ACCF6D6">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3A8C89AB">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01F28929">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004E3ACB">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6672B03D">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0A886F15">
            <w:pPr>
              <w:ind w:left="0" w:leftChars="0" w:firstLine="0" w:firstLineChars="0"/>
              <w:jc w:val="center"/>
              <w:rPr>
                <w:rFonts w:hint="eastAsia" w:ascii="宋体" w:hAnsi="宋体" w:eastAsia="宋体" w:cs="宋体"/>
                <w:b w:val="0"/>
                <w:bCs w:val="0"/>
                <w:sz w:val="24"/>
                <w:szCs w:val="20"/>
                <w:vertAlign w:val="baseline"/>
                <w:lang w:val="en-US" w:eastAsia="zh-CN"/>
              </w:rPr>
            </w:pPr>
          </w:p>
        </w:tc>
      </w:tr>
      <w:tr w14:paraId="0DC4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680" w:type="dxa"/>
            <w:vAlign w:val="center"/>
          </w:tcPr>
          <w:p w14:paraId="15AFF68A">
            <w:pPr>
              <w:ind w:left="0" w:leftChars="0" w:firstLine="0" w:firstLineChars="0"/>
              <w:jc w:val="center"/>
              <w:rPr>
                <w:rFonts w:hint="eastAsia" w:ascii="宋体" w:hAnsi="宋体" w:eastAsia="宋体" w:cs="宋体"/>
                <w:b w:val="0"/>
                <w:bCs w:val="0"/>
                <w:sz w:val="24"/>
                <w:szCs w:val="20"/>
                <w:vertAlign w:val="baseline"/>
                <w:lang w:val="en-US" w:eastAsia="zh-CN"/>
              </w:rPr>
            </w:pPr>
            <w:r>
              <w:rPr>
                <w:rFonts w:hint="eastAsia" w:ascii="宋体" w:hAnsi="宋体" w:eastAsia="宋体" w:cs="宋体"/>
                <w:b w:val="0"/>
                <w:bCs w:val="0"/>
                <w:sz w:val="24"/>
                <w:szCs w:val="20"/>
                <w:vertAlign w:val="baseline"/>
                <w:lang w:val="en-US" w:eastAsia="zh-CN"/>
              </w:rPr>
              <w:t>3</w:t>
            </w:r>
          </w:p>
        </w:tc>
        <w:tc>
          <w:tcPr>
            <w:tcW w:w="1134" w:type="dxa"/>
            <w:vAlign w:val="center"/>
          </w:tcPr>
          <w:p w14:paraId="55D9D050">
            <w:pPr>
              <w:ind w:left="0" w:leftChars="0" w:firstLine="0" w:firstLineChars="0"/>
              <w:jc w:val="center"/>
              <w:rPr>
                <w:rFonts w:hint="default" w:ascii="宋体" w:hAnsi="宋体" w:eastAsia="宋体" w:cs="宋体"/>
                <w:b w:val="0"/>
                <w:bCs w:val="0"/>
                <w:sz w:val="24"/>
                <w:szCs w:val="20"/>
                <w:vertAlign w:val="baseline"/>
                <w:lang w:val="en-US" w:eastAsia="zh-CN"/>
              </w:rPr>
            </w:pPr>
            <w:r>
              <w:rPr>
                <w:rFonts w:hint="eastAsia" w:ascii="宋体" w:hAnsi="宋体" w:eastAsia="宋体" w:cs="宋体"/>
                <w:b w:val="0"/>
                <w:bCs w:val="0"/>
                <w:sz w:val="24"/>
                <w:szCs w:val="20"/>
                <w:vertAlign w:val="baseline"/>
                <w:lang w:val="en-US" w:eastAsia="zh-CN"/>
              </w:rPr>
              <w:t>装卸运输</w:t>
            </w:r>
          </w:p>
        </w:tc>
        <w:tc>
          <w:tcPr>
            <w:tcW w:w="1134" w:type="dxa"/>
            <w:vAlign w:val="center"/>
          </w:tcPr>
          <w:p w14:paraId="3E5AA769">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3C49F5AC">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63AF6625">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55D439AA">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49F1E997">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6FF1B5A2">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10C1676C">
            <w:pPr>
              <w:ind w:left="0" w:leftChars="0" w:firstLine="0" w:firstLineChars="0"/>
              <w:jc w:val="center"/>
              <w:rPr>
                <w:rFonts w:hint="default" w:ascii="宋体" w:hAnsi="宋体" w:eastAsia="宋体" w:cs="宋体"/>
                <w:b w:val="0"/>
                <w:bCs w:val="0"/>
                <w:color w:val="auto"/>
                <w:sz w:val="24"/>
                <w:szCs w:val="20"/>
                <w:vertAlign w:val="baseline"/>
                <w:lang w:val="en-US" w:eastAsia="zh-CN"/>
              </w:rPr>
            </w:pPr>
          </w:p>
        </w:tc>
      </w:tr>
      <w:tr w14:paraId="0CE59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680" w:type="dxa"/>
            <w:vAlign w:val="center"/>
          </w:tcPr>
          <w:p w14:paraId="0E54758A">
            <w:pPr>
              <w:ind w:left="0" w:leftChars="0" w:firstLine="0" w:firstLineChars="0"/>
              <w:jc w:val="center"/>
              <w:rPr>
                <w:rFonts w:hint="eastAsia" w:ascii="宋体" w:hAnsi="宋体" w:eastAsia="宋体" w:cs="宋体"/>
                <w:b w:val="0"/>
                <w:bCs w:val="0"/>
                <w:sz w:val="24"/>
                <w:szCs w:val="20"/>
                <w:vertAlign w:val="baseline"/>
                <w:lang w:val="en-US" w:eastAsia="zh-CN"/>
              </w:rPr>
            </w:pPr>
            <w:r>
              <w:rPr>
                <w:rFonts w:hint="eastAsia" w:ascii="宋体" w:hAnsi="宋体" w:eastAsia="宋体" w:cs="宋体"/>
                <w:b w:val="0"/>
                <w:bCs w:val="0"/>
                <w:sz w:val="24"/>
                <w:szCs w:val="20"/>
                <w:vertAlign w:val="baseline"/>
                <w:lang w:val="en-US" w:eastAsia="zh-CN"/>
              </w:rPr>
              <w:t>4</w:t>
            </w:r>
          </w:p>
        </w:tc>
        <w:tc>
          <w:tcPr>
            <w:tcW w:w="1134" w:type="dxa"/>
            <w:vAlign w:val="center"/>
          </w:tcPr>
          <w:p w14:paraId="5366FEFF">
            <w:pPr>
              <w:ind w:left="0" w:leftChars="0" w:firstLine="0" w:firstLineChars="0"/>
              <w:jc w:val="center"/>
              <w:rPr>
                <w:rFonts w:hint="default" w:ascii="宋体" w:hAnsi="宋体" w:eastAsia="宋体" w:cs="宋体"/>
                <w:b w:val="0"/>
                <w:bCs w:val="0"/>
                <w:sz w:val="24"/>
                <w:szCs w:val="20"/>
                <w:vertAlign w:val="baseline"/>
                <w:lang w:val="en-US" w:eastAsia="zh-CN"/>
              </w:rPr>
            </w:pPr>
            <w:r>
              <w:rPr>
                <w:rFonts w:hint="eastAsia" w:ascii="宋体" w:hAnsi="宋体" w:eastAsia="宋体" w:cs="宋体"/>
                <w:b w:val="0"/>
                <w:bCs w:val="0"/>
                <w:sz w:val="24"/>
                <w:szCs w:val="20"/>
                <w:vertAlign w:val="baseline"/>
                <w:lang w:val="en-US" w:eastAsia="zh-CN"/>
              </w:rPr>
              <w:t>辅材</w:t>
            </w:r>
          </w:p>
        </w:tc>
        <w:tc>
          <w:tcPr>
            <w:tcW w:w="1134" w:type="dxa"/>
            <w:vAlign w:val="center"/>
          </w:tcPr>
          <w:p w14:paraId="55051C63">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1C8BFF63">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548CCE27">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3A87FEAA">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21ACC29C">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7E68DF7E">
            <w:pPr>
              <w:ind w:left="0" w:leftChars="0" w:firstLine="0" w:firstLineChars="0"/>
              <w:jc w:val="center"/>
              <w:rPr>
                <w:rFonts w:hint="eastAsia" w:ascii="宋体" w:hAnsi="宋体" w:eastAsia="宋体" w:cs="宋体"/>
                <w:b w:val="0"/>
                <w:bCs w:val="0"/>
                <w:sz w:val="24"/>
                <w:szCs w:val="20"/>
                <w:vertAlign w:val="baseline"/>
                <w:lang w:val="en-US" w:eastAsia="zh-CN"/>
              </w:rPr>
            </w:pPr>
          </w:p>
        </w:tc>
        <w:tc>
          <w:tcPr>
            <w:tcW w:w="1134" w:type="dxa"/>
            <w:vAlign w:val="center"/>
          </w:tcPr>
          <w:p w14:paraId="473A25BA">
            <w:pPr>
              <w:ind w:left="0" w:leftChars="0" w:firstLine="0" w:firstLineChars="0"/>
              <w:jc w:val="center"/>
              <w:rPr>
                <w:rFonts w:hint="default" w:ascii="宋体" w:hAnsi="宋体" w:eastAsia="宋体" w:cs="宋体"/>
                <w:b w:val="0"/>
                <w:bCs w:val="0"/>
                <w:color w:val="auto"/>
                <w:sz w:val="24"/>
                <w:szCs w:val="20"/>
                <w:vertAlign w:val="baseline"/>
                <w:lang w:val="en-US" w:eastAsia="zh-CN"/>
              </w:rPr>
            </w:pPr>
          </w:p>
        </w:tc>
      </w:tr>
    </w:tbl>
    <w:p w14:paraId="236E59ED">
      <w:pPr>
        <w:spacing w:before="0" w:after="0" w:line="288" w:lineRule="auto"/>
        <w:jc w:val="both"/>
        <w:rPr>
          <w:rFonts w:hint="eastAsia" w:ascii="宋体" w:hAnsi="宋体" w:eastAsia="宋体" w:cs="宋体"/>
        </w:rPr>
      </w:pPr>
    </w:p>
    <w:p w14:paraId="2AA6107E"/>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A40D77"/>
    <w:rsid w:val="255307ED"/>
    <w:rsid w:val="297665B1"/>
    <w:rsid w:val="29F179E6"/>
    <w:rsid w:val="2B155786"/>
    <w:rsid w:val="33B73BA0"/>
    <w:rsid w:val="383F68AA"/>
    <w:rsid w:val="4097659F"/>
    <w:rsid w:val="41970AE1"/>
    <w:rsid w:val="50193825"/>
    <w:rsid w:val="585A7E7E"/>
    <w:rsid w:val="72331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仿宋_GB2312" w:cstheme="minorBidi"/>
      <w:sz w:val="32"/>
      <w:szCs w:val="22"/>
      <w:lang w:val="en-US" w:eastAsia="en-US" w:bidi="ar-SA"/>
    </w:rPr>
  </w:style>
  <w:style w:type="paragraph" w:styleId="2">
    <w:name w:val="heading 1"/>
    <w:basedOn w:val="1"/>
    <w:next w:val="1"/>
    <w:qFormat/>
    <w:uiPriority w:val="0"/>
    <w:pPr>
      <w:keepNext/>
      <w:keepLines/>
      <w:spacing w:beforeLines="0" w:after="50" w:afterLines="50" w:line="240" w:lineRule="auto"/>
      <w:ind w:firstLine="0" w:firstLineChars="0"/>
      <w:jc w:val="center"/>
      <w:outlineLvl w:val="0"/>
    </w:pPr>
    <w:rPr>
      <w:rFonts w:eastAsia="方正小标宋_GBK"/>
      <w:b/>
      <w:kern w:val="44"/>
      <w:sz w:val="44"/>
    </w:rPr>
  </w:style>
  <w:style w:type="paragraph" w:styleId="3">
    <w:name w:val="heading 2"/>
    <w:basedOn w:val="1"/>
    <w:next w:val="1"/>
    <w:semiHidden/>
    <w:unhideWhenUsed/>
    <w:qFormat/>
    <w:uiPriority w:val="0"/>
    <w:pPr>
      <w:keepNext/>
      <w:keepLines/>
      <w:spacing w:beforeLines="0" w:beforeAutospacing="0" w:afterLines="0" w:afterAutospacing="0" w:line="288" w:lineRule="auto"/>
      <w:outlineLvl w:val="1"/>
    </w:pPr>
    <w:rPr>
      <w:rFonts w:ascii="Arial" w:hAnsi="Arial" w:eastAsia="黑体"/>
      <w:b/>
    </w:rPr>
  </w:style>
  <w:style w:type="paragraph" w:styleId="4">
    <w:name w:val="heading 3"/>
    <w:basedOn w:val="1"/>
    <w:next w:val="1"/>
    <w:semiHidden/>
    <w:unhideWhenUsed/>
    <w:qFormat/>
    <w:uiPriority w:val="0"/>
    <w:pPr>
      <w:keepNext/>
      <w:keepLines/>
      <w:spacing w:beforeLines="0" w:beforeAutospacing="0" w:afterLines="0" w:afterAutospacing="0" w:line="288" w:lineRule="auto"/>
      <w:outlineLvl w:val="2"/>
    </w:pPr>
    <w:rPr>
      <w:rFonts w:eastAsia="楷体_GB2312"/>
      <w:b/>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2862</Words>
  <Characters>2931</Characters>
  <Lines>0</Lines>
  <Paragraphs>0</Paragraphs>
  <TotalTime>0</TotalTime>
  <ScaleCrop>false</ScaleCrop>
  <LinksUpToDate>false</LinksUpToDate>
  <CharactersWithSpaces>2954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2026-01-18T01:48:00Z</dcterms:created>
  <dc:creator>admin</dc:creator>
  <cp:lastModifiedBy>用户9683</cp:lastModifiedBy>
  <dcterms:modified xsi:type="dcterms:W3CDTF">2026-10-12T03:08:25Z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F1806455C72D40B3A6BC3D0853799BFD_12</vt:lpwstr>
  </property>
  <property fmtid="{D5CDD505-2E9C-101B-9397-08002B2CF9AE}" pid="4" name="KSOTemplateDocerSaveRecord">
    <vt:lpwstr>eyJoZGlkIjoiYzYyM2UzZjBkZmFlMDg4ZTA2OWZjM2MxZmE1NzJmOTMiLCJ1c2VySWQiOiIyMDI1OTk3MDkifQ==</vt:lpwstr>
  </property>
</Properties>
</file>